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874" w:rsidRDefault="00A27C5B" w:rsidP="00625ADC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5ADC" w:rsidRPr="00625ADC" w:rsidRDefault="00625ADC" w:rsidP="00625ADC">
      <w:pPr>
        <w:jc w:val="center"/>
        <w:rPr>
          <w:sz w:val="16"/>
          <w:szCs w:val="16"/>
        </w:rPr>
      </w:pPr>
    </w:p>
    <w:p w:rsidR="002E1874" w:rsidRDefault="00A27C5B">
      <w:pPr>
        <w:pStyle w:val="2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ВОЛИНСЬКА ОБЛАСНА ДЕРЖАВНА АДМІНІСТРАЦІЯ</w:t>
      </w:r>
    </w:p>
    <w:p w:rsidR="002E1874" w:rsidRDefault="002E1874">
      <w:pPr>
        <w:rPr>
          <w:color w:val="000000"/>
          <w:sz w:val="14"/>
        </w:rPr>
      </w:pPr>
    </w:p>
    <w:p w:rsidR="002E1874" w:rsidRDefault="00A27C5B">
      <w:pPr>
        <w:jc w:val="center"/>
        <w:rPr>
          <w:b/>
          <w:color w:val="000000"/>
          <w:spacing w:val="14"/>
          <w:sz w:val="28"/>
          <w:szCs w:val="28"/>
        </w:rPr>
      </w:pPr>
      <w:r>
        <w:rPr>
          <w:b/>
          <w:color w:val="000000"/>
          <w:spacing w:val="14"/>
          <w:sz w:val="28"/>
          <w:szCs w:val="28"/>
        </w:rPr>
        <w:t>ВОЛИНСЬКА ОБЛАСНА ВІЙСЬКОВА АДМІНІСТРАЦІЯ</w:t>
      </w:r>
    </w:p>
    <w:p w:rsidR="002E1874" w:rsidRDefault="002E1874" w:rsidP="00625ADC">
      <w:pPr>
        <w:pStyle w:val="1"/>
      </w:pPr>
    </w:p>
    <w:p w:rsidR="002E1874" w:rsidRDefault="00A27C5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НАКАЗ</w:t>
      </w:r>
    </w:p>
    <w:p w:rsidR="002E1874" w:rsidRPr="00625ADC" w:rsidRDefault="002E1874">
      <w:pPr>
        <w:rPr>
          <w:sz w:val="28"/>
          <w:szCs w:val="28"/>
        </w:rPr>
      </w:pPr>
    </w:p>
    <w:p w:rsidR="002E1874" w:rsidRDefault="003865DB">
      <w:pPr>
        <w:tabs>
          <w:tab w:val="left" w:pos="6135"/>
        </w:tabs>
        <w:jc w:val="both"/>
      </w:pPr>
      <w:r>
        <w:rPr>
          <w:sz w:val="28"/>
          <w:szCs w:val="28"/>
        </w:rPr>
        <w:t>05</w:t>
      </w:r>
      <w:r w:rsidR="00A27C5B">
        <w:rPr>
          <w:sz w:val="28"/>
          <w:szCs w:val="28"/>
        </w:rPr>
        <w:t xml:space="preserve"> травня  2022 року               </w:t>
      </w:r>
      <w:r w:rsidR="00625ADC">
        <w:rPr>
          <w:sz w:val="28"/>
          <w:szCs w:val="28"/>
        </w:rPr>
        <w:t xml:space="preserve">        </w:t>
      </w:r>
      <w:r w:rsidR="00A27C5B">
        <w:rPr>
          <w:sz w:val="28"/>
          <w:szCs w:val="28"/>
        </w:rPr>
        <w:t>м. Луцьк</w:t>
      </w:r>
      <w:r w:rsidR="00A27C5B">
        <w:rPr>
          <w:sz w:val="28"/>
          <w:szCs w:val="28"/>
        </w:rPr>
        <w:tab/>
      </w:r>
      <w:r w:rsidR="00A27C5B">
        <w:rPr>
          <w:sz w:val="28"/>
          <w:szCs w:val="28"/>
        </w:rPr>
        <w:tab/>
      </w:r>
      <w:r w:rsidR="00A27C5B">
        <w:rPr>
          <w:sz w:val="28"/>
          <w:szCs w:val="28"/>
        </w:rPr>
        <w:tab/>
        <w:t xml:space="preserve">         </w:t>
      </w:r>
      <w:r w:rsidR="00A27C5B">
        <w:rPr>
          <w:sz w:val="28"/>
          <w:szCs w:val="28"/>
        </w:rPr>
        <w:tab/>
      </w:r>
      <w:r w:rsidR="00A27C5B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161</w:t>
      </w:r>
      <w:r w:rsidR="00A27C5B">
        <w:rPr>
          <w:sz w:val="28"/>
          <w:szCs w:val="28"/>
        </w:rPr>
        <w:t xml:space="preserve">  </w:t>
      </w:r>
    </w:p>
    <w:p w:rsidR="002E1874" w:rsidRDefault="002E1874"/>
    <w:p w:rsidR="002E1874" w:rsidRDefault="002E1874"/>
    <w:p w:rsidR="00625ADC" w:rsidRDefault="00A27C5B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Про безпеку відпочива</w:t>
      </w:r>
      <w:r w:rsidR="00625ADC">
        <w:rPr>
          <w:sz w:val="28"/>
          <w:szCs w:val="28"/>
        </w:rPr>
        <w:t>льників</w:t>
      </w:r>
      <w:r>
        <w:rPr>
          <w:sz w:val="28"/>
          <w:szCs w:val="28"/>
        </w:rPr>
        <w:t xml:space="preserve"> на водних об’єктах області </w:t>
      </w:r>
    </w:p>
    <w:p w:rsidR="002E1874" w:rsidRDefault="00A27C5B">
      <w:pPr>
        <w:ind w:right="-1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період </w:t>
      </w:r>
      <w:r>
        <w:rPr>
          <w:color w:val="000000"/>
          <w:sz w:val="28"/>
          <w:szCs w:val="28"/>
        </w:rPr>
        <w:t>купального сезону 2022 року</w:t>
      </w:r>
    </w:p>
    <w:p w:rsidR="002E1874" w:rsidRDefault="002E1874">
      <w:pPr>
        <w:ind w:right="-1"/>
        <w:jc w:val="center"/>
        <w:rPr>
          <w:color w:val="000000"/>
          <w:sz w:val="28"/>
          <w:szCs w:val="28"/>
        </w:rPr>
      </w:pPr>
    </w:p>
    <w:p w:rsidR="002E1874" w:rsidRDefault="00A27C5B" w:rsidP="00625ADC">
      <w:pPr>
        <w:ind w:right="-1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Відповідно до законів України «Про правовий режим воєнного стану», «Про місцеві державні адміністрації», Порядку обліку місць масового відпочинку населення на  водних об’єктах, затвердженого постановою Кабінету Міністрів України від </w:t>
      </w:r>
      <w:r w:rsidR="00625ADC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6 березня 2002 року № 264, Правил охорони життя людей на водних об'єктах України, затверджених наказом Міністерства внутрішніх справ  України від 10 квітня 2017 року  № 301, зареєстрованих в Міністерстві юстиції України 04 травня 2017 року за № 566/30434</w:t>
      </w:r>
      <w:r w:rsidR="00625AD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з метою забезпечення охорони життя людей на річках, озерах і інших водоймах області в пе</w:t>
      </w:r>
      <w:r w:rsidR="00625ADC">
        <w:rPr>
          <w:color w:val="000000"/>
          <w:sz w:val="28"/>
          <w:szCs w:val="28"/>
        </w:rPr>
        <w:t>ріод літнього купального сезону</w:t>
      </w:r>
    </w:p>
    <w:p w:rsidR="00625ADC" w:rsidRPr="0078763A" w:rsidRDefault="00625ADC" w:rsidP="00625ADC">
      <w:pPr>
        <w:ind w:right="-1" w:firstLine="567"/>
        <w:jc w:val="both"/>
        <w:rPr>
          <w:color w:val="000000"/>
          <w:sz w:val="16"/>
          <w:szCs w:val="16"/>
        </w:rPr>
      </w:pPr>
    </w:p>
    <w:p w:rsidR="002E1874" w:rsidRDefault="00A27C5B">
      <w:pPr>
        <w:tabs>
          <w:tab w:val="left" w:pos="567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ar-SA"/>
        </w:rPr>
        <w:t>НАКАЗУЮ:</w:t>
      </w:r>
    </w:p>
    <w:p w:rsidR="002E1874" w:rsidRPr="0078763A" w:rsidRDefault="002E1874">
      <w:pPr>
        <w:ind w:left="5664" w:right="-1"/>
        <w:jc w:val="both"/>
        <w:rPr>
          <w:color w:val="C9211E"/>
          <w:sz w:val="16"/>
          <w:szCs w:val="16"/>
        </w:rPr>
      </w:pPr>
    </w:p>
    <w:p w:rsidR="002E1874" w:rsidRDefault="00A27C5B" w:rsidP="00625ADC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Районним військовим адміністраціям, виконавчим органам сільських, селищних, міських рад у межах наданих повноважень:</w:t>
      </w:r>
    </w:p>
    <w:p w:rsidR="002E1874" w:rsidRDefault="00A27C5B" w:rsidP="008415CE">
      <w:pPr>
        <w:tabs>
          <w:tab w:val="left" w:pos="567"/>
        </w:tabs>
        <w:ind w:right="-1" w:firstLine="567"/>
        <w:jc w:val="both"/>
      </w:pPr>
      <w:r>
        <w:rPr>
          <w:color w:val="000000"/>
          <w:sz w:val="28"/>
          <w:szCs w:val="28"/>
        </w:rPr>
        <w:t>організувати та провести роботу щодо визначення місць масового відпочинку н</w:t>
      </w:r>
      <w:r w:rsidR="008415CE">
        <w:rPr>
          <w:color w:val="000000"/>
          <w:sz w:val="28"/>
          <w:szCs w:val="28"/>
        </w:rPr>
        <w:t>а водних об’єктах, у тому числі</w:t>
      </w:r>
      <w:r>
        <w:rPr>
          <w:color w:val="000000"/>
          <w:sz w:val="28"/>
          <w:szCs w:val="28"/>
        </w:rPr>
        <w:t xml:space="preserve"> тих</w:t>
      </w:r>
      <w:r w:rsidR="008415CE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що перебувають </w:t>
      </w:r>
      <w:r w:rsidR="008415CE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користуванні підпр</w:t>
      </w:r>
      <w:r w:rsidR="008415CE">
        <w:rPr>
          <w:color w:val="000000"/>
          <w:sz w:val="28"/>
          <w:szCs w:val="28"/>
        </w:rPr>
        <w:t>иємств, установ та організацій.</w:t>
      </w:r>
      <w:r>
        <w:rPr>
          <w:color w:val="000000"/>
          <w:sz w:val="28"/>
          <w:szCs w:val="28"/>
        </w:rPr>
        <w:t xml:space="preserve"> </w:t>
      </w:r>
      <w:r w:rsidR="008415CE">
        <w:rPr>
          <w:color w:val="000000"/>
          <w:sz w:val="28"/>
          <w:szCs w:val="28"/>
        </w:rPr>
        <w:t>У термін до 16 травня</w:t>
      </w:r>
      <w:r w:rsidR="007C0936">
        <w:rPr>
          <w:color w:val="000000"/>
          <w:sz w:val="28"/>
          <w:szCs w:val="28"/>
        </w:rPr>
        <w:t xml:space="preserve"> 2022 року інформацію надати</w:t>
      </w:r>
      <w:r>
        <w:rPr>
          <w:color w:val="000000"/>
          <w:sz w:val="28"/>
          <w:szCs w:val="28"/>
        </w:rPr>
        <w:t xml:space="preserve"> Головно</w:t>
      </w:r>
      <w:r w:rsidR="007C0936">
        <w:rPr>
          <w:color w:val="000000"/>
          <w:sz w:val="28"/>
          <w:szCs w:val="28"/>
        </w:rPr>
        <w:t>му</w:t>
      </w:r>
      <w:r>
        <w:rPr>
          <w:color w:val="000000"/>
          <w:sz w:val="28"/>
          <w:szCs w:val="28"/>
        </w:rPr>
        <w:t xml:space="preserve"> управлінн</w:t>
      </w:r>
      <w:r w:rsidR="00397AAC">
        <w:rPr>
          <w:color w:val="000000"/>
          <w:sz w:val="28"/>
          <w:szCs w:val="28"/>
        </w:rPr>
        <w:t>ю</w:t>
      </w:r>
      <w:bookmarkStart w:id="0" w:name="_GoBack"/>
      <w:bookmarkEnd w:id="0"/>
      <w:r>
        <w:rPr>
          <w:color w:val="000000"/>
          <w:sz w:val="28"/>
          <w:szCs w:val="28"/>
        </w:rPr>
        <w:t xml:space="preserve"> ДСНС України у Волинській  області у друкованому вигляді та на електронну адресу: </w:t>
      </w:r>
      <w:hyperlink r:id="rId5">
        <w:r>
          <w:rPr>
            <w:color w:val="000000"/>
            <w:sz w:val="28"/>
            <w:szCs w:val="28"/>
          </w:rPr>
          <w:t>vl.dntb@ukr.net</w:t>
        </w:r>
      </w:hyperlink>
      <w:r>
        <w:rPr>
          <w:color w:val="000000"/>
          <w:sz w:val="28"/>
          <w:szCs w:val="28"/>
        </w:rPr>
        <w:t>;</w:t>
      </w:r>
    </w:p>
    <w:p w:rsidR="002E1874" w:rsidRDefault="00A27C5B" w:rsidP="00625ADC">
      <w:pPr>
        <w:ind w:right="-1" w:firstLine="567"/>
        <w:jc w:val="both"/>
      </w:pPr>
      <w:r>
        <w:rPr>
          <w:color w:val="000000"/>
          <w:sz w:val="28"/>
          <w:szCs w:val="28"/>
        </w:rPr>
        <w:t>до 27 травня 2022 року створити комісії та здійснити огляд стану готовності місць масового відпочинку населення на водних об’єктах до початку проходження купального сезону;</w:t>
      </w:r>
    </w:p>
    <w:p w:rsidR="002E1874" w:rsidRDefault="00A27C5B" w:rsidP="00625ADC">
      <w:pPr>
        <w:ind w:firstLine="567"/>
        <w:jc w:val="both"/>
      </w:pPr>
      <w:r>
        <w:rPr>
          <w:color w:val="000000"/>
          <w:sz w:val="28"/>
          <w:szCs w:val="28"/>
        </w:rPr>
        <w:t>про вжиті заходи щодо готовності до початку проведення купального сезону до 27 травня 2022 року проінформувати Головне управління ДСНС України у Волинській області.</w:t>
      </w:r>
    </w:p>
    <w:p w:rsidR="002E1874" w:rsidRDefault="002E1874" w:rsidP="00625ADC">
      <w:pPr>
        <w:ind w:firstLine="567"/>
        <w:jc w:val="right"/>
        <w:rPr>
          <w:color w:val="000000"/>
          <w:sz w:val="28"/>
          <w:szCs w:val="28"/>
        </w:rPr>
      </w:pPr>
    </w:p>
    <w:p w:rsidR="002E1874" w:rsidRDefault="00A27C5B" w:rsidP="00625ADC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Виконавчим органам сільських, селищних, міських рад у межах територій рад, користувачам водних об'єктів, керівникам дитячих закладів оздоровлення та відпочинку, баз відпочинку, місць масового відпочинку до 27 травня 2022 року з дотриманням вимог законодавства забезпечити:</w:t>
      </w:r>
    </w:p>
    <w:p w:rsidR="002E1874" w:rsidRDefault="00A27C5B" w:rsidP="0078763A">
      <w:pPr>
        <w:ind w:right="-1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обстеження та очищення від сторонніх предметів </w:t>
      </w:r>
      <w:proofErr w:type="spellStart"/>
      <w:r>
        <w:rPr>
          <w:color w:val="000000"/>
          <w:sz w:val="28"/>
          <w:szCs w:val="28"/>
        </w:rPr>
        <w:t>дна</w:t>
      </w:r>
      <w:proofErr w:type="spellEnd"/>
      <w:r>
        <w:rPr>
          <w:color w:val="000000"/>
          <w:sz w:val="28"/>
          <w:szCs w:val="28"/>
        </w:rPr>
        <w:t xml:space="preserve"> акваторії, відведеного для купання людей, створення і обладнання сезонних рятувальних постів та організацію чергування матросів-рятувальників (плавців-рятувальників) на них;</w:t>
      </w:r>
    </w:p>
    <w:p w:rsidR="00A27C5B" w:rsidRDefault="00A27C5B" w:rsidP="0078763A">
      <w:pPr>
        <w:ind w:right="-1" w:firstLine="567"/>
        <w:jc w:val="both"/>
        <w:rPr>
          <w:color w:val="000000"/>
          <w:sz w:val="28"/>
          <w:szCs w:val="28"/>
        </w:rPr>
      </w:pPr>
    </w:p>
    <w:p w:rsidR="00A27C5B" w:rsidRDefault="00A27C5B" w:rsidP="00A27C5B">
      <w:pPr>
        <w:ind w:right="-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</w:t>
      </w:r>
    </w:p>
    <w:p w:rsidR="00A27C5B" w:rsidRDefault="00A27C5B" w:rsidP="00A27C5B">
      <w:pPr>
        <w:ind w:right="-1"/>
        <w:jc w:val="center"/>
        <w:rPr>
          <w:color w:val="000000"/>
          <w:sz w:val="28"/>
          <w:szCs w:val="28"/>
        </w:rPr>
      </w:pPr>
    </w:p>
    <w:p w:rsidR="002E1874" w:rsidRDefault="00A27C5B" w:rsidP="0078763A">
      <w:pPr>
        <w:ind w:right="-1" w:firstLine="567"/>
        <w:jc w:val="both"/>
      </w:pPr>
      <w:r>
        <w:rPr>
          <w:color w:val="000000"/>
          <w:sz w:val="28"/>
          <w:szCs w:val="28"/>
        </w:rPr>
        <w:t xml:space="preserve">укладання договорів з державними аварійно-рятувальними службами для обслуговування місць масового відпочинку населення на водних об’єктах у період купального сезону; </w:t>
      </w:r>
    </w:p>
    <w:p w:rsidR="002E1874" w:rsidRDefault="00A27C5B" w:rsidP="0078763A">
      <w:pPr>
        <w:ind w:right="-1"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>установлення в місцях, заборонених для купання, стендів та іншої наочної агітації заборонного та попереджувального характеру;</w:t>
      </w:r>
    </w:p>
    <w:p w:rsidR="002E1874" w:rsidRDefault="00A27C5B" w:rsidP="0078763A">
      <w:pPr>
        <w:ind w:right="-1"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>здійснити інші підготовчі та організаційно-профілактичні заходи відповідно до Правил охорони життя людей на водних об'єктах України.</w:t>
      </w:r>
    </w:p>
    <w:p w:rsidR="002E1874" w:rsidRDefault="002E1874" w:rsidP="0078763A">
      <w:pPr>
        <w:ind w:right="-1" w:firstLine="567"/>
        <w:jc w:val="both"/>
        <w:rPr>
          <w:color w:val="000000"/>
        </w:rPr>
      </w:pPr>
    </w:p>
    <w:p w:rsidR="002E1874" w:rsidRDefault="00A27C5B" w:rsidP="0078763A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Контроль за виконанням цього наказу покласти на першого заступника голови обласної державної адміністрації Сергія </w:t>
      </w:r>
      <w:proofErr w:type="spellStart"/>
      <w:r>
        <w:rPr>
          <w:color w:val="000000"/>
          <w:sz w:val="28"/>
          <w:szCs w:val="28"/>
        </w:rPr>
        <w:t>Мовенка</w:t>
      </w:r>
      <w:proofErr w:type="spellEnd"/>
      <w:r>
        <w:rPr>
          <w:color w:val="000000"/>
          <w:sz w:val="28"/>
          <w:szCs w:val="28"/>
        </w:rPr>
        <w:t>.</w:t>
      </w:r>
    </w:p>
    <w:p w:rsidR="002E1874" w:rsidRDefault="002E1874">
      <w:pPr>
        <w:ind w:firstLine="720"/>
        <w:jc w:val="both"/>
        <w:rPr>
          <w:color w:val="000000"/>
          <w:sz w:val="28"/>
          <w:szCs w:val="28"/>
        </w:rPr>
      </w:pPr>
    </w:p>
    <w:p w:rsidR="002E1874" w:rsidRDefault="002E1874" w:rsidP="00A27C5B">
      <w:pPr>
        <w:jc w:val="both"/>
        <w:rPr>
          <w:color w:val="000000"/>
          <w:sz w:val="28"/>
          <w:szCs w:val="28"/>
        </w:rPr>
      </w:pPr>
    </w:p>
    <w:p w:rsidR="002E1874" w:rsidRDefault="002E1874">
      <w:pPr>
        <w:ind w:firstLine="720"/>
        <w:jc w:val="both"/>
        <w:rPr>
          <w:color w:val="000000"/>
          <w:sz w:val="28"/>
          <w:szCs w:val="28"/>
        </w:rPr>
      </w:pPr>
    </w:p>
    <w:p w:rsidR="002E1874" w:rsidRDefault="00A27C5B">
      <w:pPr>
        <w:tabs>
          <w:tab w:val="left" w:pos="6135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b/>
          <w:sz w:val="28"/>
          <w:szCs w:val="28"/>
        </w:rPr>
        <w:t>Юрій ПОГУЛЯЙКО</w:t>
      </w:r>
    </w:p>
    <w:p w:rsidR="002E1874" w:rsidRDefault="002E1874">
      <w:pPr>
        <w:tabs>
          <w:tab w:val="left" w:pos="6135"/>
        </w:tabs>
        <w:jc w:val="both"/>
        <w:rPr>
          <w:color w:val="000000"/>
          <w:sz w:val="28"/>
          <w:szCs w:val="28"/>
        </w:rPr>
      </w:pPr>
    </w:p>
    <w:p w:rsidR="002E1874" w:rsidRDefault="002E1874">
      <w:pPr>
        <w:tabs>
          <w:tab w:val="left" w:pos="6135"/>
        </w:tabs>
        <w:jc w:val="both"/>
        <w:rPr>
          <w:color w:val="000000"/>
          <w:sz w:val="28"/>
          <w:szCs w:val="28"/>
        </w:rPr>
      </w:pPr>
    </w:p>
    <w:p w:rsidR="00A27C5B" w:rsidRDefault="00A27C5B">
      <w:pPr>
        <w:tabs>
          <w:tab w:val="left" w:pos="6135"/>
        </w:tabs>
        <w:jc w:val="both"/>
        <w:rPr>
          <w:color w:val="000000"/>
          <w:sz w:val="28"/>
          <w:szCs w:val="28"/>
        </w:rPr>
      </w:pPr>
    </w:p>
    <w:p w:rsidR="002E1874" w:rsidRDefault="00A27C5B">
      <w:pPr>
        <w:tabs>
          <w:tab w:val="left" w:pos="6135"/>
        </w:tabs>
        <w:jc w:val="both"/>
      </w:pPr>
      <w:r>
        <w:rPr>
          <w:sz w:val="28"/>
          <w:szCs w:val="28"/>
        </w:rPr>
        <w:t xml:space="preserve">Володимир </w:t>
      </w:r>
      <w:proofErr w:type="spellStart"/>
      <w:r>
        <w:rPr>
          <w:sz w:val="28"/>
          <w:szCs w:val="28"/>
        </w:rPr>
        <w:t>Грушовінчук</w:t>
      </w:r>
      <w:proofErr w:type="spellEnd"/>
      <w:r>
        <w:rPr>
          <w:sz w:val="28"/>
          <w:szCs w:val="28"/>
        </w:rPr>
        <w:t xml:space="preserve"> 777 600</w:t>
      </w:r>
    </w:p>
    <w:sectPr w:rsidR="002E1874" w:rsidSect="00625ADC">
      <w:pgSz w:w="11906" w:h="16838"/>
      <w:pgMar w:top="397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Noto Sans CJK SC">
    <w:charset w:val="01"/>
    <w:family w:val="auto"/>
    <w:pitch w:val="variable"/>
  </w:font>
  <w:font w:name="Lohit Devanagari">
    <w:altName w:val="MV Boli"/>
    <w:charset w:val="01"/>
    <w:family w:val="auto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874"/>
    <w:rsid w:val="002E1874"/>
    <w:rsid w:val="003865DB"/>
    <w:rsid w:val="00397AAC"/>
    <w:rsid w:val="00625ADC"/>
    <w:rsid w:val="0078763A"/>
    <w:rsid w:val="007C0936"/>
    <w:rsid w:val="008415CE"/>
    <w:rsid w:val="00A2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E89DA"/>
  <w15:docId w15:val="{21BF4383-D243-46DA-AAEB-0B86E0F36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5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0521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2134C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9A05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9A052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qFormat/>
    <w:rsid w:val="002134C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a4">
    <w:name w:val="Текст у виносці Знак"/>
    <w:basedOn w:val="a0"/>
    <w:link w:val="a5"/>
    <w:uiPriority w:val="99"/>
    <w:semiHidden/>
    <w:qFormat/>
    <w:rsid w:val="005D1F3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eastAsia="Noto Sans CJK SC" w:cs="Lohit Devanagari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a">
    <w:name w:val="Покажчик"/>
    <w:basedOn w:val="a"/>
    <w:qFormat/>
    <w:pPr>
      <w:suppressLineNumbers/>
    </w:pPr>
    <w:rPr>
      <w:rFonts w:cs="Lohit Devanagari"/>
    </w:rPr>
  </w:style>
  <w:style w:type="paragraph" w:customStyle="1" w:styleId="tjbmf">
    <w:name w:val="tj bmf"/>
    <w:basedOn w:val="a"/>
    <w:qFormat/>
    <w:rsid w:val="00CF7A32"/>
    <w:pPr>
      <w:spacing w:beforeAutospacing="1" w:afterAutospacing="1"/>
    </w:pPr>
    <w:rPr>
      <w:lang w:val="ru-RU"/>
    </w:rPr>
  </w:style>
  <w:style w:type="paragraph" w:styleId="ab">
    <w:name w:val="No Spacing"/>
    <w:uiPriority w:val="1"/>
    <w:qFormat/>
    <w:rsid w:val="00F65D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qFormat/>
    <w:rsid w:val="005D1F33"/>
    <w:rPr>
      <w:rFonts w:ascii="Segoe UI" w:hAnsi="Segoe UI" w:cs="Segoe UI"/>
      <w:sz w:val="18"/>
      <w:szCs w:val="18"/>
    </w:rPr>
  </w:style>
  <w:style w:type="paragraph" w:styleId="ac">
    <w:name w:val="Title"/>
    <w:basedOn w:val="a"/>
    <w:qFormat/>
    <w:pPr>
      <w:jc w:val="center"/>
    </w:pPr>
    <w:rPr>
      <w:b/>
      <w:bCs/>
      <w:sz w:val="2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l.dntb@ukr.ne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427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Пользователь Windows</cp:lastModifiedBy>
  <cp:revision>13</cp:revision>
  <cp:lastPrinted>2022-05-04T09:12:00Z</cp:lastPrinted>
  <dcterms:created xsi:type="dcterms:W3CDTF">2022-05-03T14:48:00Z</dcterms:created>
  <dcterms:modified xsi:type="dcterms:W3CDTF">2022-05-06T07:06:00Z</dcterms:modified>
  <dc:language>uk-UA</dc:language>
</cp:coreProperties>
</file>